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7DD34" w14:textId="4004E522" w:rsidR="00A508F4" w:rsidRDefault="00B438A7">
      <w:pPr>
        <w:rPr>
          <w:rStyle w:val="fontstyle01"/>
          <w:rFonts w:hint="eastAsia"/>
        </w:rPr>
      </w:pPr>
      <w:proofErr w:type="gramStart"/>
      <w:r>
        <w:rPr>
          <w:rStyle w:val="fontstyle01"/>
        </w:rPr>
        <w:t>Supplementary  Figure</w:t>
      </w:r>
      <w:proofErr w:type="gramEnd"/>
      <w:r>
        <w:rPr>
          <w:rStyle w:val="fontstyle01"/>
        </w:rPr>
        <w:t xml:space="preserve">  and  Figure  Legend</w:t>
      </w:r>
    </w:p>
    <w:p w14:paraId="16D724FE" w14:textId="20590294" w:rsidR="00B438A7" w:rsidRDefault="00B438A7">
      <w:pPr>
        <w:rPr>
          <w:rStyle w:val="fontstyle01"/>
          <w:rFonts w:hint="eastAsia"/>
        </w:rPr>
      </w:pPr>
    </w:p>
    <w:p w14:paraId="11C4A3C9" w14:textId="77777777" w:rsidR="00B438A7" w:rsidRDefault="00B438A7">
      <w:pPr>
        <w:rPr>
          <w:rStyle w:val="fontstyle01"/>
          <w:rFonts w:hint="eastAsia"/>
        </w:rPr>
      </w:pPr>
    </w:p>
    <w:p w14:paraId="26E348B9" w14:textId="6BDCEE74" w:rsidR="00B438A7" w:rsidRDefault="00B438A7">
      <w:r>
        <w:rPr>
          <w:rStyle w:val="fontstyle01"/>
          <w:noProof/>
        </w:rPr>
        <w:drawing>
          <wp:inline distT="0" distB="0" distL="0" distR="0" wp14:anchorId="11D72B9D" wp14:editId="235481D2">
            <wp:extent cx="5272405" cy="1863725"/>
            <wp:effectExtent l="0" t="0" r="444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86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C5E18" w14:textId="77777777" w:rsidR="00B438A7" w:rsidRDefault="00B438A7" w:rsidP="00B438A7">
      <w:pPr>
        <w:rPr>
          <w:rFonts w:ascii="Times New Roman" w:hAnsi="Times New Roman" w:cs="Times New Roman"/>
          <w:szCs w:val="21"/>
        </w:rPr>
      </w:pPr>
    </w:p>
    <w:p w14:paraId="01A6E1E1" w14:textId="4B450585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Fig</w:t>
      </w:r>
      <w:r>
        <w:rPr>
          <w:rFonts w:ascii="Times New Roman" w:hAnsi="Times New Roman" w:cs="Times New Roman"/>
          <w:szCs w:val="21"/>
        </w:rPr>
        <w:t>ure</w:t>
      </w:r>
      <w:r w:rsidRPr="00B438A7">
        <w:rPr>
          <w:rFonts w:ascii="Times New Roman" w:hAnsi="Times New Roman" w:cs="Times New Roman"/>
          <w:szCs w:val="21"/>
        </w:rPr>
        <w:t>.s1 Adult BTBR mice exhibit</w:t>
      </w:r>
      <w:r w:rsidR="001D0292">
        <w:rPr>
          <w:rFonts w:ascii="Times New Roman" w:hAnsi="Times New Roman" w:cs="Times New Roman"/>
          <w:szCs w:val="21"/>
        </w:rPr>
        <w:t>ed</w:t>
      </w:r>
      <w:r w:rsidRPr="00B438A7">
        <w:rPr>
          <w:rFonts w:ascii="Times New Roman" w:hAnsi="Times New Roman" w:cs="Times New Roman"/>
          <w:szCs w:val="21"/>
        </w:rPr>
        <w:t xml:space="preserve"> typical dystonia-like behaviors. </w:t>
      </w:r>
    </w:p>
    <w:p w14:paraId="15B4CF0E" w14:textId="31F1A54C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Representative image</w:t>
      </w:r>
      <w:r w:rsidR="001D0292">
        <w:rPr>
          <w:rFonts w:ascii="Times New Roman" w:hAnsi="Times New Roman" w:cs="Times New Roman"/>
          <w:szCs w:val="21"/>
        </w:rPr>
        <w:t>s</w:t>
      </w:r>
      <w:r w:rsidRPr="00B438A7">
        <w:rPr>
          <w:rFonts w:ascii="Times New Roman" w:hAnsi="Times New Roman" w:cs="Times New Roman"/>
          <w:szCs w:val="21"/>
        </w:rPr>
        <w:t xml:space="preserve"> of hyperflexion, clasping, trunk twisting and hyperextension as dystonia-like behaviors of BTBR mice in tail suspension test.</w:t>
      </w:r>
    </w:p>
    <w:p w14:paraId="1D914D72" w14:textId="372DC758" w:rsidR="00B438A7" w:rsidRDefault="00B438A7">
      <w:r>
        <w:rPr>
          <w:noProof/>
        </w:rPr>
        <w:lastRenderedPageBreak/>
        <w:drawing>
          <wp:inline distT="0" distB="0" distL="0" distR="0" wp14:anchorId="078E127F" wp14:editId="64DFB541">
            <wp:extent cx="5272405" cy="5770245"/>
            <wp:effectExtent l="0" t="0" r="444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77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21DB6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Fig.s2</w:t>
      </w:r>
      <w:r w:rsidRPr="00B438A7">
        <w:rPr>
          <w:rFonts w:ascii="Times New Roman" w:hAnsi="Times New Roman" w:cs="Times New Roman" w:hint="eastAsia"/>
          <w:szCs w:val="21"/>
        </w:rPr>
        <w:t xml:space="preserve"> </w:t>
      </w:r>
      <w:r w:rsidRPr="00B438A7">
        <w:rPr>
          <w:rFonts w:ascii="Times New Roman" w:hAnsi="Times New Roman" w:cs="Times New Roman"/>
          <w:szCs w:val="21"/>
        </w:rPr>
        <w:t>Migration rate of granule neurons in ML was not affected in BTBR mice at P7.</w:t>
      </w:r>
    </w:p>
    <w:p w14:paraId="7F7A9279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 w:hint="eastAsia"/>
          <w:szCs w:val="21"/>
        </w:rPr>
        <w:t>A</w:t>
      </w:r>
      <w:r w:rsidRPr="00B438A7">
        <w:rPr>
          <w:rFonts w:ascii="Times New Roman" w:hAnsi="Times New Roman" w:cs="Times New Roman"/>
          <w:szCs w:val="21"/>
        </w:rPr>
        <w:t>-B Hematoxylin-eosin (HE) staining of middle sagittal cerebellar section at postnatal day 7.</w:t>
      </w:r>
    </w:p>
    <w:p w14:paraId="1C52377A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C-D Magnification of white box in C, D showing migrating process of granule neurons from EGL to IGL. White arrows indicate the migrating granule neurons identified by the slim nucleus in ML.</w:t>
      </w:r>
    </w:p>
    <w:p w14:paraId="1926FF31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E Quantification of number of migrating granule neurons with slim nucleus per mm in ML. (Student’s t-test; n=6,6).</w:t>
      </w:r>
    </w:p>
    <w:p w14:paraId="0818B34D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E Quantification of migrating rate of granule neurons in ML. (Student’s t-test; n=6,6).</w:t>
      </w:r>
    </w:p>
    <w:p w14:paraId="7245491E" w14:textId="36A342CD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All data are displayed as mean ± SD. **</w:t>
      </w:r>
      <w:r w:rsidRPr="003B7316">
        <w:rPr>
          <w:rFonts w:ascii="Times New Roman" w:hAnsi="Times New Roman" w:cs="Times New Roman"/>
          <w:i/>
          <w:iCs/>
          <w:szCs w:val="21"/>
        </w:rPr>
        <w:t>P</w:t>
      </w:r>
      <w:r w:rsidRPr="00B438A7">
        <w:rPr>
          <w:rFonts w:ascii="Times New Roman" w:hAnsi="Times New Roman" w:cs="Times New Roman"/>
          <w:szCs w:val="21"/>
        </w:rPr>
        <w:t xml:space="preserve"> &lt; 0.01. Scale bar: A, B 200μm; C, D 25μm.</w:t>
      </w:r>
    </w:p>
    <w:p w14:paraId="2DCD57A5" w14:textId="3046844C" w:rsidR="00B438A7" w:rsidRDefault="00B438A7">
      <w:r>
        <w:rPr>
          <w:noProof/>
        </w:rPr>
        <w:lastRenderedPageBreak/>
        <w:drawing>
          <wp:inline distT="0" distB="0" distL="0" distR="0" wp14:anchorId="37A7656F" wp14:editId="0A162F97">
            <wp:extent cx="5272405" cy="341439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E1893" w14:textId="495B83F3" w:rsidR="00B438A7" w:rsidRDefault="00B438A7"/>
    <w:p w14:paraId="5E56D970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 w:hint="eastAsia"/>
          <w:szCs w:val="21"/>
        </w:rPr>
        <w:t>Fi</w:t>
      </w:r>
      <w:r w:rsidRPr="00B438A7">
        <w:rPr>
          <w:rFonts w:ascii="Times New Roman" w:hAnsi="Times New Roman" w:cs="Times New Roman"/>
          <w:szCs w:val="21"/>
        </w:rPr>
        <w:t>g.s3 Purkinje cells significantly lost in BTBR cerebella at adulthood (P90).</w:t>
      </w:r>
    </w:p>
    <w:p w14:paraId="44E08B02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 w:hint="eastAsia"/>
          <w:szCs w:val="21"/>
        </w:rPr>
        <w:t>A</w:t>
      </w:r>
      <w:r w:rsidRPr="00B438A7">
        <w:rPr>
          <w:rFonts w:ascii="Times New Roman" w:hAnsi="Times New Roman" w:cs="Times New Roman"/>
          <w:szCs w:val="21"/>
        </w:rPr>
        <w:t>-H Calbindin staining Purkinje neurons in cerebellar lobe I-X of WT (A-D) and BTBR (E-H) mice in adulthood.</w:t>
      </w:r>
      <w:bookmarkStart w:id="0" w:name="_GoBack"/>
      <w:bookmarkEnd w:id="0"/>
    </w:p>
    <w:p w14:paraId="7541A616" w14:textId="436AD0CC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I</w:t>
      </w:r>
      <w:r w:rsidRPr="00B438A7">
        <w:rPr>
          <w:rFonts w:ascii="Times New Roman" w:hAnsi="Times New Roman" w:cs="Times New Roman"/>
          <w:szCs w:val="21"/>
        </w:rPr>
        <w:t xml:space="preserve"> Quantification of Purkinje neurons number per 500μm in lobe I-X (Student’s t-test; n=4,4).</w:t>
      </w:r>
    </w:p>
    <w:p w14:paraId="728D9C71" w14:textId="73D8FE6B" w:rsid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/>
          <w:szCs w:val="21"/>
        </w:rPr>
        <w:t>All data are displayed as mean ± SD. *</w:t>
      </w:r>
      <w:r w:rsidRPr="003B7316">
        <w:rPr>
          <w:rFonts w:ascii="Times New Roman" w:hAnsi="Times New Roman" w:cs="Times New Roman"/>
          <w:i/>
          <w:iCs/>
          <w:szCs w:val="21"/>
        </w:rPr>
        <w:t>P</w:t>
      </w:r>
      <w:r w:rsidRPr="00B438A7">
        <w:rPr>
          <w:rFonts w:ascii="Times New Roman" w:hAnsi="Times New Roman" w:cs="Times New Roman"/>
          <w:szCs w:val="21"/>
        </w:rPr>
        <w:t xml:space="preserve"> &lt; 0.05, **</w:t>
      </w:r>
      <w:r w:rsidRPr="003B7316">
        <w:rPr>
          <w:rFonts w:ascii="Times New Roman" w:hAnsi="Times New Roman" w:cs="Times New Roman"/>
          <w:i/>
          <w:iCs/>
          <w:szCs w:val="21"/>
        </w:rPr>
        <w:t>P</w:t>
      </w:r>
      <w:r w:rsidRPr="00B438A7">
        <w:rPr>
          <w:rFonts w:ascii="Times New Roman" w:hAnsi="Times New Roman" w:cs="Times New Roman"/>
          <w:szCs w:val="21"/>
        </w:rPr>
        <w:t xml:space="preserve"> &lt; 0.01. Scale bar: A-H 200μm. </w:t>
      </w:r>
    </w:p>
    <w:p w14:paraId="66A546AE" w14:textId="77777777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</w:p>
    <w:p w14:paraId="56E1D56C" w14:textId="77777777" w:rsidR="00B438A7" w:rsidRPr="00B438A7" w:rsidRDefault="00B438A7"/>
    <w:p w14:paraId="20715AB4" w14:textId="66179A3B" w:rsidR="00B438A7" w:rsidRDefault="00B438A7"/>
    <w:p w14:paraId="3284AAFE" w14:textId="6D956C22" w:rsidR="00B438A7" w:rsidRDefault="00B438A7">
      <w:r>
        <w:rPr>
          <w:noProof/>
        </w:rPr>
        <w:lastRenderedPageBreak/>
        <w:drawing>
          <wp:inline distT="0" distB="0" distL="0" distR="0" wp14:anchorId="02C56BEF" wp14:editId="1B20BC59">
            <wp:extent cx="5272405" cy="3559175"/>
            <wp:effectExtent l="0" t="0" r="444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55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07726" w14:textId="77777777" w:rsidR="00B438A7" w:rsidRDefault="00B438A7" w:rsidP="00B438A7">
      <w:pPr>
        <w:rPr>
          <w:rFonts w:ascii="Times New Roman" w:hAnsi="Times New Roman" w:cs="Times New Roman"/>
          <w:szCs w:val="21"/>
        </w:rPr>
      </w:pPr>
    </w:p>
    <w:p w14:paraId="7071ECE2" w14:textId="77777777" w:rsidR="00B438A7" w:rsidRDefault="00B438A7" w:rsidP="00B438A7">
      <w:pPr>
        <w:rPr>
          <w:rFonts w:ascii="Times New Roman" w:hAnsi="Times New Roman" w:cs="Times New Roman"/>
          <w:szCs w:val="21"/>
        </w:rPr>
      </w:pPr>
    </w:p>
    <w:p w14:paraId="748C30C0" w14:textId="70F7E0A4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 w:hint="eastAsia"/>
          <w:szCs w:val="21"/>
        </w:rPr>
        <w:t>F</w:t>
      </w:r>
      <w:r w:rsidRPr="00B438A7">
        <w:rPr>
          <w:rFonts w:ascii="Times New Roman" w:hAnsi="Times New Roman" w:cs="Times New Roman"/>
          <w:szCs w:val="21"/>
        </w:rPr>
        <w:t xml:space="preserve">ig.s4 Protein-protein interaction (PPI) networks identified by STRING of selected 90 proteins in Negative regulation of nervous system development pathway. </w:t>
      </w:r>
    </w:p>
    <w:p w14:paraId="413729D0" w14:textId="33DDA8F1" w:rsidR="00B438A7" w:rsidRPr="00B438A7" w:rsidRDefault="00B438A7" w:rsidP="00B438A7">
      <w:pPr>
        <w:rPr>
          <w:rFonts w:ascii="Times New Roman" w:hAnsi="Times New Roman" w:cs="Times New Roman"/>
          <w:szCs w:val="21"/>
        </w:rPr>
      </w:pPr>
      <w:r w:rsidRPr="00B438A7">
        <w:rPr>
          <w:rFonts w:ascii="Times New Roman" w:hAnsi="Times New Roman" w:cs="Times New Roman" w:hint="eastAsia"/>
          <w:szCs w:val="21"/>
        </w:rPr>
        <w:t>D</w:t>
      </w:r>
      <w:r w:rsidRPr="00B438A7">
        <w:rPr>
          <w:rFonts w:ascii="Times New Roman" w:hAnsi="Times New Roman" w:cs="Times New Roman"/>
          <w:szCs w:val="21"/>
        </w:rPr>
        <w:t xml:space="preserve">ifferential expression genes classified in upregulated (red) and downregulated (blue). Changed alleles of BTBR mice are added and highlighted. Disconnected nodes were hide in the network.  </w:t>
      </w:r>
    </w:p>
    <w:p w14:paraId="186235E9" w14:textId="77777777" w:rsidR="00B438A7" w:rsidRPr="00B438A7" w:rsidRDefault="00B438A7">
      <w:pPr>
        <w:rPr>
          <w:rFonts w:ascii="Times New Roman" w:hAnsi="Times New Roman" w:cs="Times New Roman"/>
          <w:szCs w:val="21"/>
        </w:rPr>
      </w:pPr>
    </w:p>
    <w:sectPr w:rsidR="00B438A7" w:rsidRPr="00B43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-Bol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D3FB0"/>
    <w:rsid w:val="001D0292"/>
    <w:rsid w:val="003B7316"/>
    <w:rsid w:val="00A508F4"/>
    <w:rsid w:val="00B438A7"/>
    <w:rsid w:val="00ED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7B9F0"/>
  <w15:chartTrackingRefBased/>
  <w15:docId w15:val="{ADEADDA7-1CAF-401F-A17C-4A2EF05E3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438A7"/>
    <w:rPr>
      <w:rFonts w:ascii="Cambria-Bold" w:hAnsi="Cambria-Bold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rui</dc:creator>
  <cp:keywords/>
  <dc:description/>
  <cp:lastModifiedBy>Xiao rui</cp:lastModifiedBy>
  <cp:revision>5</cp:revision>
  <dcterms:created xsi:type="dcterms:W3CDTF">2019-12-12T07:50:00Z</dcterms:created>
  <dcterms:modified xsi:type="dcterms:W3CDTF">2019-12-17T14:38:00Z</dcterms:modified>
</cp:coreProperties>
</file>